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1D1A" w14:textId="77777777" w:rsidR="000F39EC" w:rsidRDefault="000F39EC">
      <w:pPr>
        <w:pStyle w:val="BodyText"/>
        <w:spacing w:before="2"/>
        <w:ind w:left="0"/>
        <w:rPr>
          <w:rFonts w:ascii="Times New Roman"/>
          <w:sz w:val="5"/>
        </w:rPr>
      </w:pPr>
    </w:p>
    <w:p w14:paraId="3EF41D34" w14:textId="74CBA265" w:rsidR="000F39EC" w:rsidRDefault="00000000">
      <w:pPr>
        <w:pStyle w:val="BodyText"/>
        <w:ind w:left="231"/>
      </w:pPr>
      <w:r>
        <w:pict w14:anchorId="3EF41D44">
          <v:shapetype id="_x0000_t202" coordsize="21600,21600" o:spt="202" path="m,l,21600r21600,l21600,xe">
            <v:stroke joinstyle="miter"/>
            <v:path gradientshapeok="t" o:connecttype="rect"/>
          </v:shapetype>
          <v:shape id="_x0000_s1027" type="#_x0000_t202" style="position:absolute;left:0;text-align:left;margin-left:69.4pt;margin-top:39.7pt;width:470.9pt;height:63.3pt;z-index:-251658240;mso-wrap-distance-left:0;mso-wrap-distance-right:0;mso-position-horizontal-relative:page" filled="f" strokecolor="#2c4079" strokeweight="2.22pt">
            <v:textbox inset="0,0,0,0">
              <w:txbxContent>
                <w:p w14:paraId="3EF41D46" w14:textId="77777777" w:rsidR="000F39EC" w:rsidRDefault="006E3359">
                  <w:pPr>
                    <w:pStyle w:val="BodyText"/>
                    <w:spacing w:before="18"/>
                    <w:ind w:left="29"/>
                  </w:pPr>
                  <w:bookmarkStart w:id="0" w:name="Note:"/>
                  <w:bookmarkEnd w:id="0"/>
                  <w:r>
                    <w:rPr>
                      <w:color w:val="2C4079"/>
                    </w:rPr>
                    <w:t>Note:</w:t>
                  </w:r>
                </w:p>
                <w:p w14:paraId="3EF41D47" w14:textId="77777777" w:rsidR="000F39EC" w:rsidRDefault="006E3359">
                  <w:pPr>
                    <w:pStyle w:val="BodyText"/>
                    <w:spacing w:before="121"/>
                    <w:ind w:left="29" w:right="274"/>
                    <w:jc w:val="both"/>
                  </w:pPr>
                  <w:bookmarkStart w:id="1" w:name="The_key_issue_is_to_consider_hazardous_s"/>
                  <w:bookmarkEnd w:id="1"/>
                  <w:r>
                    <w:rPr>
                      <w:color w:val="2C4079"/>
                    </w:rPr>
                    <w:t>The key issue is to consider hazardous situations as those affecting the safety of personnel and the environment (not financial or commercial issues) and to keep the risk level for all the critical and essential items acceptable and under control.</w:t>
                  </w:r>
                </w:p>
              </w:txbxContent>
            </v:textbox>
            <w10:wrap type="topAndBottom" anchorx="page"/>
          </v:shape>
        </w:pict>
      </w:r>
      <w:bookmarkStart w:id="2" w:name="The_approach_in_TGP_1.2.6_should_lead_to"/>
      <w:bookmarkEnd w:id="2"/>
      <w:r w:rsidR="006E3359">
        <w:t xml:space="preserve">The approach in </w:t>
      </w:r>
      <w:r w:rsidR="007C7A4F">
        <w:t>FOM 10.18</w:t>
      </w:r>
      <w:r w:rsidR="006E3359">
        <w:t xml:space="preserve"> should lead to a limited number of </w:t>
      </w:r>
      <w:r w:rsidR="006E3359">
        <w:rPr>
          <w:b/>
        </w:rPr>
        <w:t xml:space="preserve">critical </w:t>
      </w:r>
      <w:r w:rsidR="006E3359">
        <w:t xml:space="preserve">items and a much larger number of </w:t>
      </w:r>
      <w:r w:rsidR="006E3359">
        <w:rPr>
          <w:b/>
        </w:rPr>
        <w:t xml:space="preserve">essential </w:t>
      </w:r>
      <w:r w:rsidR="006E3359">
        <w:t>items.</w:t>
      </w:r>
    </w:p>
    <w:p w14:paraId="3EF41D35" w14:textId="77777777" w:rsidR="000F39EC" w:rsidRDefault="006E3359">
      <w:pPr>
        <w:pStyle w:val="BodyText"/>
        <w:spacing w:before="91"/>
        <w:ind w:left="231"/>
      </w:pPr>
      <w:bookmarkStart w:id="3" w:name="By_applying_this_risk_based_approach_it_"/>
      <w:bookmarkEnd w:id="3"/>
      <w:r>
        <w:t xml:space="preserve">By applying this </w:t>
      </w:r>
      <w:proofErr w:type="gramStart"/>
      <w:r>
        <w:t>risk based</w:t>
      </w:r>
      <w:proofErr w:type="gramEnd"/>
      <w:r>
        <w:t xml:space="preserve"> approach it is clear that:</w:t>
      </w:r>
    </w:p>
    <w:p w14:paraId="3EF41D36" w14:textId="77777777" w:rsidR="000F39EC" w:rsidRDefault="006E3359">
      <w:pPr>
        <w:pStyle w:val="BodyText"/>
        <w:spacing w:before="119"/>
        <w:ind w:left="231"/>
      </w:pPr>
      <w:bookmarkStart w:id="4" w:name="The_items_in_the_list_of_Critical_Equipm"/>
      <w:bookmarkEnd w:id="4"/>
      <w:r>
        <w:t>The items in the list of Critical Equipment</w:t>
      </w:r>
    </w:p>
    <w:p w14:paraId="3EF41D37" w14:textId="77777777" w:rsidR="000F39EC" w:rsidRDefault="006E3359">
      <w:pPr>
        <w:pStyle w:val="ListParagraph"/>
        <w:numPr>
          <w:ilvl w:val="0"/>
          <w:numId w:val="1"/>
        </w:numPr>
        <w:tabs>
          <w:tab w:val="left" w:pos="952"/>
          <w:tab w:val="left" w:pos="953"/>
        </w:tabs>
        <w:ind w:hanging="362"/>
      </w:pPr>
      <w:bookmarkStart w:id="5" w:name="_Are_likely_to_be_identical_for_identic"/>
      <w:bookmarkEnd w:id="5"/>
      <w:r>
        <w:t>Are likely to be identical for identical sister</w:t>
      </w:r>
      <w:r>
        <w:rPr>
          <w:spacing w:val="-8"/>
        </w:rPr>
        <w:t xml:space="preserve"> </w:t>
      </w:r>
      <w:r>
        <w:t>ships</w:t>
      </w:r>
    </w:p>
    <w:p w14:paraId="3EF41D38" w14:textId="77777777" w:rsidR="000F39EC" w:rsidRDefault="006E3359">
      <w:pPr>
        <w:pStyle w:val="ListParagraph"/>
        <w:numPr>
          <w:ilvl w:val="0"/>
          <w:numId w:val="1"/>
        </w:numPr>
        <w:tabs>
          <w:tab w:val="left" w:pos="952"/>
          <w:tab w:val="left" w:pos="953"/>
        </w:tabs>
        <w:spacing w:before="119"/>
        <w:ind w:hanging="362"/>
      </w:pPr>
      <w:bookmarkStart w:id="6" w:name="_Are_likely_to_be_different_for_differe"/>
      <w:bookmarkEnd w:id="6"/>
      <w:r>
        <w:t>Are likely to be different for different ship</w:t>
      </w:r>
      <w:r>
        <w:rPr>
          <w:spacing w:val="-7"/>
        </w:rPr>
        <w:t xml:space="preserve"> </w:t>
      </w:r>
      <w:r>
        <w:t>types</w:t>
      </w:r>
    </w:p>
    <w:p w14:paraId="3EF41D39" w14:textId="77777777" w:rsidR="000F39EC" w:rsidRDefault="006E3359">
      <w:pPr>
        <w:pStyle w:val="ListParagraph"/>
        <w:numPr>
          <w:ilvl w:val="0"/>
          <w:numId w:val="1"/>
        </w:numPr>
        <w:tabs>
          <w:tab w:val="left" w:pos="952"/>
          <w:tab w:val="left" w:pos="953"/>
        </w:tabs>
        <w:spacing w:before="116"/>
        <w:ind w:hanging="362"/>
      </w:pPr>
      <w:bookmarkStart w:id="7" w:name="_Will_not_change_greatly_throughout_the"/>
      <w:bookmarkEnd w:id="7"/>
      <w:r>
        <w:t>Will not change greatly throughout the ship’s life (unless the ship is</w:t>
      </w:r>
      <w:r>
        <w:rPr>
          <w:spacing w:val="-14"/>
        </w:rPr>
        <w:t xml:space="preserve"> </w:t>
      </w:r>
      <w:r>
        <w:t>modified)</w:t>
      </w:r>
    </w:p>
    <w:p w14:paraId="3EF41D3A" w14:textId="77777777" w:rsidR="000F39EC" w:rsidRDefault="006E3359">
      <w:pPr>
        <w:pStyle w:val="BodyText"/>
        <w:spacing w:before="117"/>
        <w:ind w:left="231"/>
      </w:pPr>
      <w:bookmarkStart w:id="8" w:name="The_RISK_LEVELS_and_RELIABILITY_of_the_C"/>
      <w:bookmarkEnd w:id="8"/>
      <w:r>
        <w:t>The RISK LEVELS and RELIABILITY of the Critical Equipment</w:t>
      </w:r>
    </w:p>
    <w:p w14:paraId="3EF41D3B" w14:textId="77777777" w:rsidR="000F39EC" w:rsidRDefault="006E3359">
      <w:pPr>
        <w:pStyle w:val="ListParagraph"/>
        <w:numPr>
          <w:ilvl w:val="0"/>
          <w:numId w:val="1"/>
        </w:numPr>
        <w:tabs>
          <w:tab w:val="left" w:pos="952"/>
          <w:tab w:val="left" w:pos="953"/>
        </w:tabs>
        <w:ind w:hanging="362"/>
      </w:pPr>
      <w:bookmarkStart w:id="9" w:name="_Can_vary_from_one_sister_ship_to_anoth"/>
      <w:bookmarkEnd w:id="9"/>
      <w:r>
        <w:t>Can vary from one sister ship to</w:t>
      </w:r>
      <w:r>
        <w:rPr>
          <w:spacing w:val="-5"/>
        </w:rPr>
        <w:t xml:space="preserve"> </w:t>
      </w:r>
      <w:r>
        <w:t>another</w:t>
      </w:r>
    </w:p>
    <w:p w14:paraId="3EF41D3C" w14:textId="77777777" w:rsidR="000F39EC" w:rsidRDefault="006E3359">
      <w:pPr>
        <w:pStyle w:val="ListParagraph"/>
        <w:numPr>
          <w:ilvl w:val="0"/>
          <w:numId w:val="1"/>
        </w:numPr>
        <w:tabs>
          <w:tab w:val="left" w:pos="952"/>
          <w:tab w:val="left" w:pos="953"/>
        </w:tabs>
        <w:spacing w:before="117"/>
        <w:ind w:hanging="362"/>
      </w:pPr>
      <w:bookmarkStart w:id="10" w:name="_Do_change_throughout_the_ship_life"/>
      <w:bookmarkEnd w:id="10"/>
      <w:r>
        <w:t>Do change throughout the ship</w:t>
      </w:r>
      <w:r>
        <w:rPr>
          <w:spacing w:val="-4"/>
        </w:rPr>
        <w:t xml:space="preserve"> </w:t>
      </w:r>
      <w:r>
        <w:t>life</w:t>
      </w:r>
    </w:p>
    <w:p w14:paraId="3EF41D3D" w14:textId="77777777" w:rsidR="000F39EC" w:rsidRDefault="00000000">
      <w:pPr>
        <w:pStyle w:val="ListParagraph"/>
        <w:numPr>
          <w:ilvl w:val="0"/>
          <w:numId w:val="1"/>
        </w:numPr>
        <w:tabs>
          <w:tab w:val="left" w:pos="952"/>
          <w:tab w:val="left" w:pos="953"/>
        </w:tabs>
        <w:spacing w:line="237" w:lineRule="auto"/>
        <w:ind w:right="407"/>
      </w:pPr>
      <w:r>
        <w:pict w14:anchorId="3EF41D45">
          <v:shape id="_x0000_s1026" type="#_x0000_t202" style="position:absolute;left:0;text-align:left;margin-left:69.4pt;margin-top:39.65pt;width:473.3pt;height:76.6pt;z-index:-251657216;mso-wrap-distance-left:0;mso-wrap-distance-right:0;mso-position-horizontal-relative:page" filled="f" strokecolor="red" strokeweight="2.22pt">
            <v:textbox inset="0,0,0,0">
              <w:txbxContent>
                <w:p w14:paraId="3EF41D48" w14:textId="77777777" w:rsidR="000F39EC" w:rsidRDefault="006E3359">
                  <w:pPr>
                    <w:pStyle w:val="BodyText"/>
                    <w:spacing w:before="18"/>
                    <w:ind w:left="29"/>
                  </w:pPr>
                  <w:bookmarkStart w:id="11" w:name="Caution:"/>
                  <w:bookmarkEnd w:id="11"/>
                  <w:r>
                    <w:rPr>
                      <w:color w:val="FF0000"/>
                    </w:rPr>
                    <w:t>Caution:</w:t>
                  </w:r>
                </w:p>
                <w:p w14:paraId="3EF41D49" w14:textId="77777777" w:rsidR="000F39EC" w:rsidRDefault="006E3359">
                  <w:pPr>
                    <w:pStyle w:val="BodyText"/>
                    <w:spacing w:before="121"/>
                    <w:ind w:left="29" w:right="29"/>
                    <w:jc w:val="both"/>
                  </w:pPr>
                  <w:bookmarkStart w:id="12" w:name="The_list_of_Critical_Equipment_can_be_in"/>
                  <w:bookmarkEnd w:id="12"/>
                  <w:r>
                    <w:rPr>
                      <w:color w:val="FF0000"/>
                    </w:rPr>
                    <w:t>The list of Critical Equipment can be initiated by the Vessel Manager. The periodic updating of the corresponding risk levels and reliability is the responsibility of the Senior Management on- board</w:t>
                  </w:r>
                  <w:r>
                    <w:rPr>
                      <w:color w:val="FF0000"/>
                      <w:spacing w:val="-10"/>
                    </w:rPr>
                    <w:t xml:space="preserve"> </w:t>
                  </w:r>
                  <w:r>
                    <w:rPr>
                      <w:color w:val="FF0000"/>
                    </w:rPr>
                    <w:t>(Master,</w:t>
                  </w:r>
                  <w:r>
                    <w:rPr>
                      <w:color w:val="FF0000"/>
                      <w:spacing w:val="-12"/>
                    </w:rPr>
                    <w:t xml:space="preserve"> </w:t>
                  </w:r>
                  <w:r>
                    <w:rPr>
                      <w:color w:val="FF0000"/>
                    </w:rPr>
                    <w:t>Chief</w:t>
                  </w:r>
                  <w:r>
                    <w:rPr>
                      <w:color w:val="FF0000"/>
                      <w:spacing w:val="-10"/>
                    </w:rPr>
                    <w:t xml:space="preserve"> </w:t>
                  </w:r>
                  <w:r>
                    <w:rPr>
                      <w:color w:val="FF0000"/>
                    </w:rPr>
                    <w:t>Officer,</w:t>
                  </w:r>
                  <w:r>
                    <w:rPr>
                      <w:color w:val="FF0000"/>
                      <w:spacing w:val="-11"/>
                    </w:rPr>
                    <w:t xml:space="preserve"> </w:t>
                  </w:r>
                  <w:r>
                    <w:rPr>
                      <w:color w:val="FF0000"/>
                    </w:rPr>
                    <w:t>Chief</w:t>
                  </w:r>
                  <w:r>
                    <w:rPr>
                      <w:color w:val="FF0000"/>
                      <w:spacing w:val="-12"/>
                    </w:rPr>
                    <w:t xml:space="preserve"> </w:t>
                  </w:r>
                  <w:r>
                    <w:rPr>
                      <w:color w:val="FF0000"/>
                    </w:rPr>
                    <w:t>Engineer</w:t>
                  </w:r>
                  <w:r>
                    <w:rPr>
                      <w:color w:val="FF0000"/>
                      <w:spacing w:val="-10"/>
                    </w:rPr>
                    <w:t xml:space="preserve"> </w:t>
                  </w:r>
                  <w:r>
                    <w:rPr>
                      <w:color w:val="FF0000"/>
                    </w:rPr>
                    <w:t>and</w:t>
                  </w:r>
                  <w:r>
                    <w:rPr>
                      <w:color w:val="FF0000"/>
                      <w:spacing w:val="-11"/>
                    </w:rPr>
                    <w:t xml:space="preserve"> </w:t>
                  </w:r>
                  <w:r>
                    <w:rPr>
                      <w:color w:val="FF0000"/>
                    </w:rPr>
                    <w:t>Second</w:t>
                  </w:r>
                  <w:r>
                    <w:rPr>
                      <w:color w:val="FF0000"/>
                      <w:spacing w:val="-12"/>
                    </w:rPr>
                    <w:t xml:space="preserve"> </w:t>
                  </w:r>
                  <w:r>
                    <w:rPr>
                      <w:color w:val="FF0000"/>
                    </w:rPr>
                    <w:t>Engineer)</w:t>
                  </w:r>
                  <w:r>
                    <w:rPr>
                      <w:color w:val="FF0000"/>
                      <w:spacing w:val="-11"/>
                    </w:rPr>
                    <w:t xml:space="preserve"> </w:t>
                  </w:r>
                  <w:r>
                    <w:rPr>
                      <w:color w:val="FF0000"/>
                    </w:rPr>
                    <w:t>in</w:t>
                  </w:r>
                  <w:r>
                    <w:rPr>
                      <w:color w:val="FF0000"/>
                      <w:spacing w:val="-11"/>
                    </w:rPr>
                    <w:t xml:space="preserve"> </w:t>
                  </w:r>
                  <w:r>
                    <w:rPr>
                      <w:color w:val="FF0000"/>
                    </w:rPr>
                    <w:t>consultation</w:t>
                  </w:r>
                  <w:r>
                    <w:rPr>
                      <w:color w:val="FF0000"/>
                      <w:spacing w:val="-11"/>
                    </w:rPr>
                    <w:t xml:space="preserve"> </w:t>
                  </w:r>
                  <w:r>
                    <w:rPr>
                      <w:color w:val="FF0000"/>
                    </w:rPr>
                    <w:t>with</w:t>
                  </w:r>
                  <w:r>
                    <w:rPr>
                      <w:color w:val="FF0000"/>
                      <w:spacing w:val="-9"/>
                    </w:rPr>
                    <w:t xml:space="preserve"> </w:t>
                  </w:r>
                  <w:r>
                    <w:rPr>
                      <w:color w:val="FF0000"/>
                    </w:rPr>
                    <w:t>the</w:t>
                  </w:r>
                  <w:r>
                    <w:rPr>
                      <w:color w:val="FF0000"/>
                      <w:spacing w:val="-11"/>
                    </w:rPr>
                    <w:t xml:space="preserve"> </w:t>
                  </w:r>
                  <w:r>
                    <w:rPr>
                      <w:color w:val="FF0000"/>
                    </w:rPr>
                    <w:t>Vessel Manager. The review and updating shall take</w:t>
                  </w:r>
                  <w:r>
                    <w:rPr>
                      <w:color w:val="FF0000"/>
                      <w:spacing w:val="-5"/>
                    </w:rPr>
                    <w:t xml:space="preserve"> </w:t>
                  </w:r>
                  <w:r>
                    <w:rPr>
                      <w:color w:val="FF0000"/>
                    </w:rPr>
                    <w:t>place.</w:t>
                  </w:r>
                </w:p>
              </w:txbxContent>
            </v:textbox>
            <w10:wrap type="topAndBottom" anchorx="page"/>
          </v:shape>
        </w:pict>
      </w:r>
      <w:bookmarkStart w:id="13" w:name="_Periodic_review_and_update_of_the_risk"/>
      <w:bookmarkEnd w:id="13"/>
      <w:r w:rsidR="006E3359">
        <w:t xml:space="preserve">Periodic review and update of the risk level of each item is necessary to reflect the </w:t>
      </w:r>
      <w:proofErr w:type="gramStart"/>
      <w:r w:rsidR="006E3359">
        <w:t>current status</w:t>
      </w:r>
      <w:proofErr w:type="gramEnd"/>
      <w:r w:rsidR="006E3359">
        <w:t xml:space="preserve"> on</w:t>
      </w:r>
      <w:r w:rsidR="006E3359">
        <w:rPr>
          <w:spacing w:val="-2"/>
        </w:rPr>
        <w:t xml:space="preserve"> </w:t>
      </w:r>
      <w:r w:rsidR="006E3359">
        <w:t>board</w:t>
      </w:r>
    </w:p>
    <w:p w14:paraId="3EF41D3E" w14:textId="77777777" w:rsidR="000F39EC" w:rsidRDefault="006E3359">
      <w:pPr>
        <w:pStyle w:val="BodyText"/>
        <w:spacing w:before="91"/>
        <w:ind w:left="231" w:right="158"/>
        <w:jc w:val="both"/>
      </w:pPr>
      <w:bookmarkStart w:id="14" w:name="The_list_of_critical_systems_will_be_cro"/>
      <w:bookmarkEnd w:id="14"/>
      <w:r>
        <w:t xml:space="preserve">The list of critical systems will be cross linked to the ship’s planned maintenance system and a list of critical spares will be developed. When the system reviews have been completed for all ships of a specific </w:t>
      </w:r>
      <w:proofErr w:type="gramStart"/>
      <w:r>
        <w:t>type</w:t>
      </w:r>
      <w:proofErr w:type="gramEnd"/>
      <w:r>
        <w:t xml:space="preserve"> an average can be derived for the ship type as reference. </w:t>
      </w:r>
      <w:r>
        <w:rPr>
          <w:spacing w:val="4"/>
        </w:rPr>
        <w:t xml:space="preserve">An </w:t>
      </w:r>
      <w:r>
        <w:t>immediate management</w:t>
      </w:r>
      <w:r>
        <w:rPr>
          <w:spacing w:val="-6"/>
        </w:rPr>
        <w:t xml:space="preserve"> </w:t>
      </w:r>
      <w:r>
        <w:t>overview</w:t>
      </w:r>
      <w:r>
        <w:rPr>
          <w:spacing w:val="-5"/>
        </w:rPr>
        <w:t xml:space="preserve"> </w:t>
      </w:r>
      <w:r>
        <w:t>is</w:t>
      </w:r>
      <w:r>
        <w:rPr>
          <w:spacing w:val="-3"/>
        </w:rPr>
        <w:t xml:space="preserve"> </w:t>
      </w:r>
      <w:r>
        <w:t>obtained</w:t>
      </w:r>
      <w:r>
        <w:rPr>
          <w:spacing w:val="-5"/>
        </w:rPr>
        <w:t xml:space="preserve"> </w:t>
      </w:r>
      <w:r>
        <w:t>for</w:t>
      </w:r>
      <w:r>
        <w:rPr>
          <w:spacing w:val="-5"/>
        </w:rPr>
        <w:t xml:space="preserve"> </w:t>
      </w:r>
      <w:r>
        <w:t>each</w:t>
      </w:r>
      <w:r>
        <w:rPr>
          <w:spacing w:val="-5"/>
        </w:rPr>
        <w:t xml:space="preserve"> </w:t>
      </w:r>
      <w:r>
        <w:t>specific</w:t>
      </w:r>
      <w:r>
        <w:rPr>
          <w:spacing w:val="-6"/>
        </w:rPr>
        <w:t xml:space="preserve"> </w:t>
      </w:r>
      <w:r>
        <w:t>ship</w:t>
      </w:r>
      <w:r>
        <w:rPr>
          <w:spacing w:val="-5"/>
        </w:rPr>
        <w:t xml:space="preserve"> </w:t>
      </w:r>
      <w:r>
        <w:t>and</w:t>
      </w:r>
      <w:r>
        <w:rPr>
          <w:spacing w:val="-5"/>
        </w:rPr>
        <w:t xml:space="preserve"> </w:t>
      </w:r>
      <w:r>
        <w:t>can</w:t>
      </w:r>
      <w:r>
        <w:rPr>
          <w:spacing w:val="-5"/>
        </w:rPr>
        <w:t xml:space="preserve"> </w:t>
      </w:r>
      <w:r>
        <w:t>be</w:t>
      </w:r>
      <w:r>
        <w:rPr>
          <w:spacing w:val="-4"/>
        </w:rPr>
        <w:t xml:space="preserve"> </w:t>
      </w:r>
      <w:r>
        <w:t>compared</w:t>
      </w:r>
      <w:r>
        <w:rPr>
          <w:spacing w:val="-6"/>
        </w:rPr>
        <w:t xml:space="preserve"> </w:t>
      </w:r>
      <w:r>
        <w:t>to</w:t>
      </w:r>
      <w:r>
        <w:rPr>
          <w:spacing w:val="-6"/>
        </w:rPr>
        <w:t xml:space="preserve"> </w:t>
      </w:r>
      <w:r>
        <w:t>the</w:t>
      </w:r>
      <w:r>
        <w:rPr>
          <w:spacing w:val="-4"/>
        </w:rPr>
        <w:t xml:space="preserve"> </w:t>
      </w:r>
      <w:r>
        <w:t>average</w:t>
      </w:r>
      <w:r>
        <w:rPr>
          <w:spacing w:val="-5"/>
        </w:rPr>
        <w:t xml:space="preserve"> </w:t>
      </w:r>
      <w:r>
        <w:t>in the</w:t>
      </w:r>
      <w:r>
        <w:rPr>
          <w:spacing w:val="-7"/>
        </w:rPr>
        <w:t xml:space="preserve"> </w:t>
      </w:r>
      <w:r>
        <w:t>fleet</w:t>
      </w:r>
      <w:r>
        <w:rPr>
          <w:spacing w:val="-6"/>
        </w:rPr>
        <w:t xml:space="preserve"> </w:t>
      </w:r>
      <w:r>
        <w:t>by</w:t>
      </w:r>
      <w:r>
        <w:rPr>
          <w:spacing w:val="-4"/>
        </w:rPr>
        <w:t xml:space="preserve"> </w:t>
      </w:r>
      <w:r>
        <w:t>totaling</w:t>
      </w:r>
      <w:r>
        <w:rPr>
          <w:spacing w:val="-5"/>
        </w:rPr>
        <w:t xml:space="preserve"> </w:t>
      </w:r>
      <w:r>
        <w:t>the</w:t>
      </w:r>
      <w:r>
        <w:rPr>
          <w:spacing w:val="-5"/>
        </w:rPr>
        <w:t xml:space="preserve"> </w:t>
      </w:r>
      <w:r>
        <w:t>number</w:t>
      </w:r>
      <w:r>
        <w:rPr>
          <w:spacing w:val="-6"/>
        </w:rPr>
        <w:t xml:space="preserve"> </w:t>
      </w:r>
      <w:r>
        <w:t>of</w:t>
      </w:r>
      <w:r>
        <w:rPr>
          <w:spacing w:val="-7"/>
        </w:rPr>
        <w:t xml:space="preserve"> </w:t>
      </w:r>
      <w:r>
        <w:t>systems</w:t>
      </w:r>
      <w:r>
        <w:rPr>
          <w:spacing w:val="-6"/>
        </w:rPr>
        <w:t xml:space="preserve"> </w:t>
      </w:r>
      <w:r>
        <w:t>and</w:t>
      </w:r>
      <w:r>
        <w:rPr>
          <w:spacing w:val="-5"/>
        </w:rPr>
        <w:t xml:space="preserve"> </w:t>
      </w:r>
      <w:r>
        <w:t>percentage</w:t>
      </w:r>
      <w:r>
        <w:rPr>
          <w:spacing w:val="-6"/>
        </w:rPr>
        <w:t xml:space="preserve"> </w:t>
      </w:r>
      <w:r>
        <w:t>of</w:t>
      </w:r>
      <w:r>
        <w:rPr>
          <w:spacing w:val="-7"/>
        </w:rPr>
        <w:t xml:space="preserve"> </w:t>
      </w:r>
      <w:r>
        <w:t>systems</w:t>
      </w:r>
      <w:r>
        <w:rPr>
          <w:spacing w:val="-6"/>
        </w:rPr>
        <w:t xml:space="preserve"> </w:t>
      </w:r>
      <w:r>
        <w:t>in</w:t>
      </w:r>
      <w:r>
        <w:rPr>
          <w:spacing w:val="-8"/>
        </w:rPr>
        <w:t xml:space="preserve"> </w:t>
      </w:r>
      <w:r>
        <w:t>Risk</w:t>
      </w:r>
      <w:r>
        <w:rPr>
          <w:spacing w:val="-7"/>
        </w:rPr>
        <w:t xml:space="preserve"> </w:t>
      </w:r>
      <w:r>
        <w:t>category</w:t>
      </w:r>
      <w:r>
        <w:rPr>
          <w:spacing w:val="-5"/>
        </w:rPr>
        <w:t xml:space="preserve"> </w:t>
      </w:r>
      <w:r>
        <w:t>I</w:t>
      </w:r>
      <w:r>
        <w:rPr>
          <w:spacing w:val="-7"/>
        </w:rPr>
        <w:t xml:space="preserve"> </w:t>
      </w:r>
      <w:r>
        <w:t>and</w:t>
      </w:r>
      <w:r>
        <w:rPr>
          <w:spacing w:val="-5"/>
        </w:rPr>
        <w:t xml:space="preserve"> </w:t>
      </w:r>
      <w:r>
        <w:t>or II.</w:t>
      </w:r>
    </w:p>
    <w:p w14:paraId="3EF41D3F" w14:textId="77777777" w:rsidR="000F39EC" w:rsidRDefault="000F39EC">
      <w:pPr>
        <w:pStyle w:val="BodyText"/>
        <w:spacing w:before="12"/>
        <w:ind w:left="0"/>
        <w:rPr>
          <w:sz w:val="25"/>
        </w:rPr>
      </w:pPr>
    </w:p>
    <w:p w14:paraId="3EF41D40" w14:textId="77444493" w:rsidR="000F39EC" w:rsidRDefault="006E3359">
      <w:pPr>
        <w:tabs>
          <w:tab w:val="left" w:pos="2821"/>
          <w:tab w:val="left" w:pos="7595"/>
        </w:tabs>
        <w:spacing w:before="100"/>
        <w:ind w:left="268"/>
        <w:rPr>
          <w:sz w:val="20"/>
        </w:rPr>
      </w:pPr>
      <w:r>
        <w:rPr>
          <w:sz w:val="20"/>
        </w:rPr>
        <w:t>Page 1</w:t>
      </w:r>
      <w:r>
        <w:rPr>
          <w:spacing w:val="-2"/>
          <w:sz w:val="20"/>
        </w:rPr>
        <w:t xml:space="preserve"> </w:t>
      </w:r>
      <w:r>
        <w:rPr>
          <w:sz w:val="20"/>
        </w:rPr>
        <w:t>of 1</w:t>
      </w:r>
      <w:r>
        <w:rPr>
          <w:sz w:val="20"/>
        </w:rPr>
        <w:tab/>
      </w:r>
    </w:p>
    <w:sectPr w:rsidR="000F39EC" w:rsidSect="00764442">
      <w:headerReference w:type="default" r:id="rId7"/>
      <w:type w:val="continuous"/>
      <w:pgSz w:w="12240" w:h="15840"/>
      <w:pgMar w:top="1500" w:right="1280" w:bottom="280" w:left="1280"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B19BB" w14:textId="77777777" w:rsidR="009E50BC" w:rsidRDefault="009E50BC" w:rsidP="009B5FB6">
      <w:r>
        <w:separator/>
      </w:r>
    </w:p>
  </w:endnote>
  <w:endnote w:type="continuationSeparator" w:id="0">
    <w:p w14:paraId="39099394" w14:textId="77777777" w:rsidR="009E50BC" w:rsidRDefault="009E50BC" w:rsidP="009B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B0D4" w14:textId="77777777" w:rsidR="009E50BC" w:rsidRDefault="009E50BC" w:rsidP="009B5FB6">
      <w:r>
        <w:separator/>
      </w:r>
    </w:p>
  </w:footnote>
  <w:footnote w:type="continuationSeparator" w:id="0">
    <w:p w14:paraId="4D694EE6" w14:textId="77777777" w:rsidR="009E50BC" w:rsidRDefault="009E50BC" w:rsidP="009B5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764442" w14:paraId="76B472BC"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03F2DC82" w14:textId="31D2C886" w:rsidR="00764442" w:rsidRDefault="00764442" w:rsidP="00764442">
          <w:pPr>
            <w:pStyle w:val="DefaultText"/>
            <w:spacing w:line="256" w:lineRule="auto"/>
            <w:jc w:val="center"/>
            <w:rPr>
              <w:lang w:bidi="th-TH"/>
            </w:rPr>
          </w:pPr>
          <w:r>
            <w:rPr>
              <w:lang w:bidi="th-TH"/>
            </w:rPr>
            <w:t>FOM-10.</w:t>
          </w:r>
          <w:r w:rsidR="00AF3788">
            <w:rPr>
              <w:lang w:bidi="th-TH"/>
            </w:rPr>
            <w:t>18</w:t>
          </w:r>
        </w:p>
      </w:tc>
      <w:tc>
        <w:tcPr>
          <w:tcW w:w="6303" w:type="dxa"/>
          <w:tcBorders>
            <w:top w:val="double" w:sz="6" w:space="0" w:color="auto"/>
            <w:left w:val="single" w:sz="6" w:space="0" w:color="auto"/>
            <w:bottom w:val="nil"/>
            <w:right w:val="nil"/>
          </w:tcBorders>
          <w:vAlign w:val="bottom"/>
        </w:tcPr>
        <w:p w14:paraId="17020726" w14:textId="77777777" w:rsidR="00764442" w:rsidRPr="00FE3C43" w:rsidRDefault="00764442" w:rsidP="00764442">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43D8FED1" w14:textId="4BFA105A" w:rsidR="00764442" w:rsidRDefault="00764442" w:rsidP="00764442">
          <w:pPr>
            <w:pStyle w:val="TableText"/>
            <w:spacing w:line="256" w:lineRule="auto"/>
            <w:jc w:val="center"/>
            <w:rPr>
              <w:b/>
              <w:bCs/>
              <w:sz w:val="22"/>
              <w:lang w:eastAsia="ja-JP" w:bidi="th-TH"/>
            </w:rPr>
          </w:pPr>
          <w:r>
            <w:rPr>
              <w:rFonts w:ascii="Arial" w:hAnsi="Arial"/>
              <w:b/>
              <w:bCs/>
              <w:sz w:val="16"/>
              <w:lang w:bidi="th-TH"/>
            </w:rPr>
            <w:t>Doc No.: FOM 10.</w:t>
          </w:r>
          <w:r w:rsidR="00AF3788">
            <w:rPr>
              <w:rFonts w:ascii="Arial" w:hAnsi="Arial"/>
              <w:b/>
              <w:bCs/>
              <w:sz w:val="16"/>
              <w:lang w:bidi="th-TH"/>
            </w:rPr>
            <w:t>18</w:t>
          </w:r>
        </w:p>
      </w:tc>
    </w:tr>
    <w:tr w:rsidR="00764442" w14:paraId="0DAAED73"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3A29C33" w14:textId="77777777" w:rsidR="00764442" w:rsidRDefault="00764442" w:rsidP="00764442">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04EF46C" w14:textId="77777777" w:rsidR="00764442" w:rsidRPr="007D7366" w:rsidRDefault="00764442" w:rsidP="00764442">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00386EF" w14:textId="77777777" w:rsidR="00764442" w:rsidRPr="00723775" w:rsidRDefault="00764442" w:rsidP="00764442">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625C6566" w14:textId="77777777" w:rsidR="00764442" w:rsidRDefault="00764442" w:rsidP="00764442">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764442" w14:paraId="6F883EE2"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163FDC3" w14:textId="77777777" w:rsidR="00764442" w:rsidRDefault="00764442" w:rsidP="00764442">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40B0965" w14:textId="46262B75" w:rsidR="00764442" w:rsidRPr="00792DF7" w:rsidRDefault="00AF3788" w:rsidP="00764442">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Critical Equipment Matrix</w:t>
          </w:r>
        </w:p>
      </w:tc>
      <w:tc>
        <w:tcPr>
          <w:tcW w:w="1972" w:type="dxa"/>
          <w:tcBorders>
            <w:top w:val="nil"/>
            <w:left w:val="single" w:sz="6" w:space="0" w:color="auto"/>
            <w:bottom w:val="single" w:sz="6" w:space="0" w:color="auto"/>
            <w:right w:val="double" w:sz="6" w:space="0" w:color="auto"/>
          </w:tcBorders>
          <w:vAlign w:val="center"/>
          <w:hideMark/>
        </w:tcPr>
        <w:p w14:paraId="56741C5D" w14:textId="77777777" w:rsidR="00764442" w:rsidRDefault="00764442" w:rsidP="00764442">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3F711039" w14:textId="77777777" w:rsidR="00764442" w:rsidRDefault="00764442" w:rsidP="00764442">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64442" w14:paraId="05DFA1EC"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58E15EAF" w14:textId="77777777" w:rsidR="00764442" w:rsidRDefault="00764442" w:rsidP="00764442">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58FA3FB5" w14:textId="77777777" w:rsidR="00764442" w:rsidRPr="005A205D" w:rsidRDefault="00764442" w:rsidP="00764442">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36ADE52" w14:textId="77777777" w:rsidR="00764442" w:rsidRDefault="00764442" w:rsidP="00764442">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3D67642" w14:textId="77777777" w:rsidR="009B5FB6" w:rsidRPr="00764442" w:rsidRDefault="009B5FB6" w:rsidP="0076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C35D9"/>
    <w:multiLevelType w:val="hybridMultilevel"/>
    <w:tmpl w:val="2752D032"/>
    <w:lvl w:ilvl="0" w:tplc="C590C12E">
      <w:numFmt w:val="bullet"/>
      <w:lvlText w:val=""/>
      <w:lvlJc w:val="left"/>
      <w:pPr>
        <w:ind w:left="952" w:hanging="361"/>
      </w:pPr>
      <w:rPr>
        <w:rFonts w:ascii="Symbol" w:eastAsia="Symbol" w:hAnsi="Symbol" w:cs="Symbol" w:hint="default"/>
        <w:w w:val="99"/>
        <w:sz w:val="22"/>
        <w:szCs w:val="22"/>
        <w:lang w:val="en-US" w:eastAsia="en-US" w:bidi="en-US"/>
      </w:rPr>
    </w:lvl>
    <w:lvl w:ilvl="1" w:tplc="82B02576">
      <w:numFmt w:val="bullet"/>
      <w:lvlText w:val="•"/>
      <w:lvlJc w:val="left"/>
      <w:pPr>
        <w:ind w:left="1832" w:hanging="361"/>
      </w:pPr>
      <w:rPr>
        <w:rFonts w:hint="default"/>
        <w:lang w:val="en-US" w:eastAsia="en-US" w:bidi="en-US"/>
      </w:rPr>
    </w:lvl>
    <w:lvl w:ilvl="2" w:tplc="72E64BC4">
      <w:numFmt w:val="bullet"/>
      <w:lvlText w:val="•"/>
      <w:lvlJc w:val="left"/>
      <w:pPr>
        <w:ind w:left="2704" w:hanging="361"/>
      </w:pPr>
      <w:rPr>
        <w:rFonts w:hint="default"/>
        <w:lang w:val="en-US" w:eastAsia="en-US" w:bidi="en-US"/>
      </w:rPr>
    </w:lvl>
    <w:lvl w:ilvl="3" w:tplc="F7320408">
      <w:numFmt w:val="bullet"/>
      <w:lvlText w:val="•"/>
      <w:lvlJc w:val="left"/>
      <w:pPr>
        <w:ind w:left="3576" w:hanging="361"/>
      </w:pPr>
      <w:rPr>
        <w:rFonts w:hint="default"/>
        <w:lang w:val="en-US" w:eastAsia="en-US" w:bidi="en-US"/>
      </w:rPr>
    </w:lvl>
    <w:lvl w:ilvl="4" w:tplc="E4621D00">
      <w:numFmt w:val="bullet"/>
      <w:lvlText w:val="•"/>
      <w:lvlJc w:val="left"/>
      <w:pPr>
        <w:ind w:left="4448" w:hanging="361"/>
      </w:pPr>
      <w:rPr>
        <w:rFonts w:hint="default"/>
        <w:lang w:val="en-US" w:eastAsia="en-US" w:bidi="en-US"/>
      </w:rPr>
    </w:lvl>
    <w:lvl w:ilvl="5" w:tplc="FBAA43C0">
      <w:numFmt w:val="bullet"/>
      <w:lvlText w:val="•"/>
      <w:lvlJc w:val="left"/>
      <w:pPr>
        <w:ind w:left="5320" w:hanging="361"/>
      </w:pPr>
      <w:rPr>
        <w:rFonts w:hint="default"/>
        <w:lang w:val="en-US" w:eastAsia="en-US" w:bidi="en-US"/>
      </w:rPr>
    </w:lvl>
    <w:lvl w:ilvl="6" w:tplc="73A629E6">
      <w:numFmt w:val="bullet"/>
      <w:lvlText w:val="•"/>
      <w:lvlJc w:val="left"/>
      <w:pPr>
        <w:ind w:left="6192" w:hanging="361"/>
      </w:pPr>
      <w:rPr>
        <w:rFonts w:hint="default"/>
        <w:lang w:val="en-US" w:eastAsia="en-US" w:bidi="en-US"/>
      </w:rPr>
    </w:lvl>
    <w:lvl w:ilvl="7" w:tplc="C592116C">
      <w:numFmt w:val="bullet"/>
      <w:lvlText w:val="•"/>
      <w:lvlJc w:val="left"/>
      <w:pPr>
        <w:ind w:left="7064" w:hanging="361"/>
      </w:pPr>
      <w:rPr>
        <w:rFonts w:hint="default"/>
        <w:lang w:val="en-US" w:eastAsia="en-US" w:bidi="en-US"/>
      </w:rPr>
    </w:lvl>
    <w:lvl w:ilvl="8" w:tplc="A060EB88">
      <w:numFmt w:val="bullet"/>
      <w:lvlText w:val="•"/>
      <w:lvlJc w:val="left"/>
      <w:pPr>
        <w:ind w:left="7936" w:hanging="361"/>
      </w:pPr>
      <w:rPr>
        <w:rFonts w:hint="default"/>
        <w:lang w:val="en-US" w:eastAsia="en-US" w:bidi="en-US"/>
      </w:rPr>
    </w:lvl>
  </w:abstractNum>
  <w:num w:numId="1" w16cid:durableId="61914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F39EC"/>
    <w:rsid w:val="000F39EC"/>
    <w:rsid w:val="002346F2"/>
    <w:rsid w:val="00436C6C"/>
    <w:rsid w:val="006E3359"/>
    <w:rsid w:val="00764442"/>
    <w:rsid w:val="007C7A4F"/>
    <w:rsid w:val="009B5FB6"/>
    <w:rsid w:val="009D216B"/>
    <w:rsid w:val="009E50BC"/>
    <w:rsid w:val="00A9273C"/>
    <w:rsid w:val="00AF3788"/>
    <w:rsid w:val="00E25A28"/>
    <w:rsid w:val="00EB65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EF41D1A"/>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952"/>
    </w:pPr>
  </w:style>
  <w:style w:type="paragraph" w:styleId="ListParagraph">
    <w:name w:val="List Paragraph"/>
    <w:basedOn w:val="Normal"/>
    <w:uiPriority w:val="1"/>
    <w:qFormat/>
    <w:pPr>
      <w:spacing w:before="120"/>
      <w:ind w:left="952"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5FB6"/>
    <w:pPr>
      <w:tabs>
        <w:tab w:val="center" w:pos="4513"/>
        <w:tab w:val="right" w:pos="9026"/>
      </w:tabs>
    </w:pPr>
  </w:style>
  <w:style w:type="character" w:customStyle="1" w:styleId="HeaderChar">
    <w:name w:val="Header Char"/>
    <w:basedOn w:val="DefaultParagraphFont"/>
    <w:link w:val="Header"/>
    <w:uiPriority w:val="99"/>
    <w:rsid w:val="009B5FB6"/>
    <w:rPr>
      <w:rFonts w:ascii="Tahoma" w:eastAsia="Tahoma" w:hAnsi="Tahoma" w:cs="Tahoma"/>
      <w:lang w:bidi="en-US"/>
    </w:rPr>
  </w:style>
  <w:style w:type="paragraph" w:styleId="Footer">
    <w:name w:val="footer"/>
    <w:basedOn w:val="Normal"/>
    <w:link w:val="FooterChar"/>
    <w:uiPriority w:val="99"/>
    <w:unhideWhenUsed/>
    <w:rsid w:val="009B5FB6"/>
    <w:pPr>
      <w:tabs>
        <w:tab w:val="center" w:pos="4513"/>
        <w:tab w:val="right" w:pos="9026"/>
      </w:tabs>
    </w:pPr>
  </w:style>
  <w:style w:type="character" w:customStyle="1" w:styleId="FooterChar">
    <w:name w:val="Footer Char"/>
    <w:basedOn w:val="DefaultParagraphFont"/>
    <w:link w:val="Footer"/>
    <w:uiPriority w:val="99"/>
    <w:rsid w:val="009B5FB6"/>
    <w:rPr>
      <w:rFonts w:ascii="Tahoma" w:eastAsia="Tahoma" w:hAnsi="Tahoma" w:cs="Tahoma"/>
      <w:lang w:bidi="en-US"/>
    </w:rPr>
  </w:style>
  <w:style w:type="paragraph" w:customStyle="1" w:styleId="TableText">
    <w:name w:val="Table Text"/>
    <w:basedOn w:val="Normal"/>
    <w:rsid w:val="00764442"/>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764442"/>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 Lye</dc:creator>
  <cp:lastModifiedBy>Muhammed sabeeh</cp:lastModifiedBy>
  <cp:revision>10</cp:revision>
  <dcterms:created xsi:type="dcterms:W3CDTF">2024-09-26T12:08:00Z</dcterms:created>
  <dcterms:modified xsi:type="dcterms:W3CDTF">2025-03-14T07:07:00Z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